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Quattrocento" w:cs="Quattrocento" w:eastAsia="Quattrocento" w:hAnsi="Quattrocento"/>
          <w:b w:val="1"/>
          <w:sz w:val="20"/>
          <w:szCs w:val="20"/>
          <w:rtl w:val="0"/>
        </w:rPr>
        <w:t xml:space="preserve">In the first column, write the text you want to quote. In the second, provide a literary analysis of the text (what does this passage do to advance themes, develop characterization, create symbols, etc.?). In the third, write your personal reaction to the text (your questions, feelings, etc.).</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attrocento" w:cs="Quattrocento" w:eastAsia="Quattrocento" w:hAnsi="Quattrocento"/>
          <w:sz w:val="21"/>
          <w:szCs w:val="21"/>
          <w:rtl w:val="0"/>
        </w:rPr>
        <w:t xml:space="preserve">Dialectical Journal:  </w:t>
      </w:r>
      <w:r w:rsidDel="00000000" w:rsidR="00000000" w:rsidRPr="00000000">
        <w:rPr>
          <w:rFonts w:ascii="Quattrocento" w:cs="Quattrocento" w:eastAsia="Quattrocento" w:hAnsi="Quattrocento"/>
          <w:i w:val="1"/>
          <w:sz w:val="21"/>
          <w:szCs w:val="21"/>
          <w:rtl w:val="0"/>
        </w:rPr>
        <w:t xml:space="preserve">Till We Have Faces</w:t>
      </w:r>
      <w:r w:rsidDel="00000000" w:rsidR="00000000" w:rsidRPr="00000000">
        <w:rPr>
          <w:rFonts w:ascii="Quattrocento" w:cs="Quattrocento" w:eastAsia="Quattrocento" w:hAnsi="Quattrocento"/>
          <w:sz w:val="21"/>
          <w:szCs w:val="21"/>
          <w:rtl w:val="0"/>
        </w:rPr>
        <w:t xml:space="preserve">, by C.S. Lewis                                                        Part 1, Chapter 2</w:t>
      </w:r>
    </w:p>
    <w:tbl>
      <w:tblPr>
        <w:tblStyle w:val="Table1"/>
        <w:bidi w:val="0"/>
        <w:tblW w:w="99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3270"/>
        <w:gridCol w:w="2970"/>
        <w:tblGridChange w:id="0">
          <w:tblGrid>
            <w:gridCol w:w="3690"/>
            <w:gridCol w:w="3270"/>
            <w:gridCol w:w="2970"/>
          </w:tblGrid>
        </w:tblGridChange>
      </w:tblGrid>
      <w:tr>
        <w:tc>
          <w:tcPr/>
          <w:p w:rsidR="00000000" w:rsidDel="00000000" w:rsidP="00000000" w:rsidRDefault="00000000" w:rsidRPr="00000000">
            <w:pPr>
              <w:contextualSpacing w:val="0"/>
              <w:jc w:val="center"/>
            </w:pPr>
            <w:r w:rsidDel="00000000" w:rsidR="00000000" w:rsidRPr="00000000">
              <w:rPr>
                <w:rFonts w:ascii="Quattrocento" w:cs="Quattrocento" w:eastAsia="Quattrocento" w:hAnsi="Quattrocento"/>
                <w:sz w:val="21"/>
                <w:szCs w:val="21"/>
                <w:rtl w:val="0"/>
              </w:rPr>
              <w:t xml:space="preserve">Note Taking</w:t>
            </w:r>
          </w:p>
        </w:tc>
        <w:tc>
          <w:tcPr/>
          <w:p w:rsidR="00000000" w:rsidDel="00000000" w:rsidP="00000000" w:rsidRDefault="00000000" w:rsidRPr="00000000">
            <w:pPr>
              <w:contextualSpacing w:val="0"/>
              <w:jc w:val="center"/>
            </w:pPr>
            <w:r w:rsidDel="00000000" w:rsidR="00000000" w:rsidRPr="00000000">
              <w:rPr>
                <w:rFonts w:ascii="Quattrocento" w:cs="Quattrocento" w:eastAsia="Quattrocento" w:hAnsi="Quattrocento"/>
                <w:sz w:val="21"/>
                <w:szCs w:val="21"/>
                <w:rtl w:val="0"/>
              </w:rPr>
              <w:t xml:space="preserve">Note Making</w:t>
            </w:r>
          </w:p>
        </w:tc>
        <w:tc>
          <w:tcPr/>
          <w:p w:rsidR="00000000" w:rsidDel="00000000" w:rsidP="00000000" w:rsidRDefault="00000000" w:rsidRPr="00000000">
            <w:pPr>
              <w:contextualSpacing w:val="0"/>
              <w:jc w:val="center"/>
            </w:pPr>
            <w:r w:rsidDel="00000000" w:rsidR="00000000" w:rsidRPr="00000000">
              <w:rPr>
                <w:rFonts w:ascii="Quattrocento" w:cs="Quattrocento" w:eastAsia="Quattrocento" w:hAnsi="Quattrocento"/>
                <w:sz w:val="21"/>
                <w:szCs w:val="21"/>
                <w:rtl w:val="0"/>
              </w:rPr>
              <w:t xml:space="preserve">Reflection</w:t>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 Every hour the Priest of Ungit walked round it nine times and threw in the proper things. The King sat in his chair and never moved all night, not even his head. I was sitting next to the Fox. ‘Grandfatther,’ I whispered to him, ‘I and terribly afraid.’ ‘We must learn, child not to fear anything that nature brings,‘ he whispered back” (14).</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“’Tell me, prophet, what would happen if I hammered Ungit into powder and tied you between the hammers and the stone?’  But the Priest was not in the least afraid of the King. ‘Ungit hears, King, even at the moment,’ he said. ‘And Ungit will remember. You have already said enough to call down doom upon all your decedents’” (16).</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 Girls, girls, girls!’ he bellowed. ‘ And now one girl more. Is there no end to it? Is there a plague of girls in heaven that the gods send me this flood of them? You –you-‘ He caught me by the hair, shook me to and fro, and flung me from him so that I fell in a heap…”(16).</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i w:val="1"/>
                <w:sz w:val="21"/>
                <w:szCs w:val="21"/>
                <w:rtl w:val="0"/>
              </w:rPr>
              <w:t xml:space="preserve">Find the quote that shows instances where the reader sees that the Fox may have an internal conflict about his resolve in the logical and rational explanation and the “faith” in the gods.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“And so in one hour, I passes out of the worst anguish I had yet suffered into the beginning of all my joys”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“I wanted to be a wife so that I could have been her real mother. I wanted to be a boy so that she could be in love with me. I wanted her to be my full sister instead of my half sister.  I wanted her to be a slave so that I could set her free and make her rich” (23).</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i w:val="1"/>
                <w:sz w:val="21"/>
                <w:szCs w:val="21"/>
                <w:rtl w:val="0"/>
              </w:rPr>
              <w:t xml:space="preserve">Find a quote that shows Psyche’s loyal devotion to the god’s and foreshadows her future situation</w:t>
            </w:r>
            <w:r w:rsidDel="00000000" w:rsidR="00000000" w:rsidRPr="00000000">
              <w:rPr>
                <w:rFonts w:ascii="Quattrocento" w:cs="Quattrocento" w:eastAsia="Quattrocento" w:hAnsi="Quattrocento"/>
                <w:sz w:val="21"/>
                <w:szCs w:val="2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i w:val="1"/>
                <w:sz w:val="21"/>
                <w:szCs w:val="21"/>
                <w:rtl w:val="0"/>
              </w:rPr>
              <w:t xml:space="preserve">Find a quote(s) that shows Oural’s fear and emotions of the gods.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Your quote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Quattrocento" w:cs="Quattrocento" w:eastAsia="Quattrocento" w:hAnsi="Quattrocento"/>
                <w:sz w:val="21"/>
                <w:szCs w:val="21"/>
                <w:rtl w:val="0"/>
              </w:rPr>
              <w:t xml:space="preserve">Your quote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Quattrocento">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